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40" w:before="240" w:lineRule="auto"/>
        <w:rPr/>
      </w:pPr>
      <w:bookmarkStart w:colFirst="0" w:colLast="0" w:name="_2fw3737mz558" w:id="0"/>
      <w:bookmarkEnd w:id="0"/>
      <w:r w:rsidDel="00000000" w:rsidR="00000000" w:rsidRPr="00000000">
        <w:rPr>
          <w:rtl w:val="0"/>
        </w:rPr>
        <w:t xml:space="preserve">Tawuniya and Meena Health partner with The Clinician to Operationalize Value-Based Care at Scale in Saudi Arabia</w:t>
      </w:r>
      <w:r w:rsidDel="00000000" w:rsidR="00000000" w:rsidRPr="00000000">
        <w:rPr>
          <w:rtl w:val="0"/>
        </w:rPr>
      </w:r>
    </w:p>
    <w:p w:rsidR="00000000" w:rsidDel="00000000" w:rsidP="00000000" w:rsidRDefault="00000000" w:rsidRPr="00000000" w14:paraId="00000002">
      <w:pPr>
        <w:spacing w:after="240" w:before="240" w:lineRule="auto"/>
        <w:rPr>
          <w:i w:val="1"/>
          <w:iCs w:val="1"/>
        </w:rPr>
      </w:pPr>
      <w:r w:rsidDel="00000000" w:rsidR="00000000" w:rsidRPr="00000000">
        <w:rPr>
          <w:i w:val="1"/>
          <w:iCs w:val="1"/>
          <w:rtl w:val="0"/>
        </w:rPr>
        <w:t xml:space="preserve">Saudi Arabia’s largest insurer moves from strategy to implementation, deploying The Clinician’s digital health platform to embed International Consortium of Health Outcome Measurements (ICHOM) standards and the OECD </w:t>
      </w:r>
      <w:r w:rsidDel="00000000" w:rsidR="00000000" w:rsidRPr="00000000">
        <w:rPr>
          <w:rtl w:val="0"/>
        </w:rPr>
        <w:t xml:space="preserve">Patient-Reported Indicator Survey </w:t>
      </w:r>
      <w:r w:rsidDel="00000000" w:rsidR="00000000" w:rsidRPr="00000000">
        <w:rPr>
          <w:b w:val="1"/>
          <w:bCs w:val="1"/>
          <w:rtl w:val="0"/>
        </w:rPr>
        <w:t xml:space="preserve">(</w:t>
      </w:r>
      <w:r w:rsidDel="00000000" w:rsidR="00000000" w:rsidRPr="00000000">
        <w:rPr>
          <w:i w:val="1"/>
          <w:iCs w:val="1"/>
          <w:rtl w:val="0"/>
        </w:rPr>
        <w:t xml:space="preserve">PaRIS) initiative </w:t>
      </w:r>
      <w:r w:rsidDel="00000000" w:rsidR="00000000" w:rsidRPr="00000000">
        <w:rPr>
          <w:i w:val="1"/>
          <w:iCs w:val="1"/>
          <w:rtl w:val="0"/>
        </w:rPr>
        <w:t xml:space="preserve">across the local health system. </w:t>
      </w:r>
      <w:r w:rsidDel="00000000" w:rsidR="00000000" w:rsidRPr="00000000">
        <w:rPr>
          <w:i w:val="1"/>
          <w:iCs w:val="1"/>
          <w:rtl w:val="0"/>
        </w:rPr>
        <w:t xml:space="preserve">This marks the first payer-led dual implementation of ICHOM and PaRIS frameworks in the Kingdom, establishing a nationally relevant model for outcomes-driven care.</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A Partnership Aligned with National Transformation Priorities under Vision 2030</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Saudi Arabia's healthcare transformation is moving from ambitious strategy to on-the-ground reality. Aligned with Vision 2030’s ambitions for a value-based health system, </w:t>
      </w:r>
      <w:r w:rsidDel="00000000" w:rsidR="00000000" w:rsidRPr="00000000">
        <w:rPr>
          <w:b w:val="1"/>
          <w:bCs w:val="1"/>
          <w:rtl w:val="0"/>
        </w:rPr>
        <w:t xml:space="preserve">Tawuniya Insurance, </w:t>
      </w:r>
      <w:r w:rsidDel="00000000" w:rsidR="00000000" w:rsidRPr="00000000">
        <w:rPr>
          <w:rtl w:val="0"/>
        </w:rPr>
        <w:t xml:space="preserve">the largest insurer in the MENA region, has partnered with </w:t>
      </w:r>
      <w:r w:rsidDel="00000000" w:rsidR="00000000" w:rsidRPr="00000000">
        <w:rPr>
          <w:b w:val="1"/>
          <w:bCs w:val="1"/>
          <w:rtl w:val="0"/>
        </w:rPr>
        <w:t xml:space="preserve">The Clinician</w:t>
      </w:r>
      <w:r w:rsidDel="00000000" w:rsidR="00000000" w:rsidRPr="00000000">
        <w:rPr>
          <w:rtl w:val="0"/>
        </w:rPr>
        <w:t xml:space="preserve">, a global digital health company, to implement the digital infrastructure that healthcare organizations and clinical teams need to measure, analyze, </w:t>
      </w:r>
      <w:r w:rsidDel="00000000" w:rsidR="00000000" w:rsidRPr="00000000">
        <w:rPr>
          <w:rtl w:val="0"/>
        </w:rPr>
        <w:t xml:space="preserve">and act on patient outcomes.</w:t>
      </w:r>
      <w:r w:rsidDel="00000000" w:rsidR="00000000" w:rsidRPr="00000000">
        <w:rPr>
          <w:rtl w:val="0"/>
        </w:rPr>
        <w:t xml:space="preserve"> </w:t>
      </w:r>
    </w:p>
    <w:p w:rsidR="00000000" w:rsidDel="00000000" w:rsidP="00000000" w:rsidRDefault="00000000" w:rsidRPr="00000000" w14:paraId="00000005">
      <w:pPr>
        <w:spacing w:after="240" w:before="240" w:lineRule="auto"/>
        <w:rPr/>
      </w:pPr>
      <w:r w:rsidDel="00000000" w:rsidR="00000000" w:rsidRPr="00000000">
        <w:rPr>
          <w:rtl w:val="0"/>
        </w:rPr>
        <w:t xml:space="preserve">This work is aligned with emerging national priorities around interoperability and outcomes reporting across NPHIES, CHI, and CNHI, ensuring consistency with Saudi Arabia’s broader regulatory direction.</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The project will launch within Meena Health, Tawuniya’s fully-owned primary care network. Currently operating 5 clinics with a roadmap to expand to more than 50 centers by 2027, Meena Health is revolutionizing primary healthcare through integrated physical and digital person-centered services. By working with The Clinician, </w:t>
      </w:r>
      <w:r w:rsidDel="00000000" w:rsidR="00000000" w:rsidRPr="00000000">
        <w:rPr>
          <w:rtl w:val="0"/>
        </w:rPr>
        <w:t xml:space="preserve">Meena Health’s implementation is designed to serve as a reference model for other providers in the Kingdom, demonstrating how outcomes measurement can be integrated into day-to-day clinical practice.</w:t>
      </w:r>
      <w:r w:rsidDel="00000000" w:rsidR="00000000" w:rsidRPr="00000000">
        <w:rPr>
          <w:rtl w:val="0"/>
        </w:rPr>
      </w:r>
    </w:p>
    <w:p w:rsidR="00000000" w:rsidDel="00000000" w:rsidP="00000000" w:rsidRDefault="00000000" w:rsidRPr="00000000" w14:paraId="00000007">
      <w:pPr>
        <w:pStyle w:val="Heading4"/>
        <w:keepNext w:val="0"/>
        <w:keepLines w:val="0"/>
        <w:spacing w:after="40" w:before="240" w:lineRule="auto"/>
        <w:rPr>
          <w:b w:val="1"/>
          <w:bCs w:val="1"/>
          <w:color w:val="000000"/>
          <w:sz w:val="22"/>
          <w:szCs w:val="22"/>
        </w:rPr>
      </w:pPr>
      <w:bookmarkStart w:colFirst="0" w:colLast="0" w:name="_ltgk0r52qak4" w:id="1"/>
      <w:bookmarkEnd w:id="1"/>
      <w:r w:rsidDel="00000000" w:rsidR="00000000" w:rsidRPr="00000000">
        <w:rPr>
          <w:b w:val="1"/>
          <w:bCs w:val="1"/>
          <w:color w:val="000000"/>
          <w:sz w:val="22"/>
          <w:szCs w:val="22"/>
          <w:rtl w:val="0"/>
        </w:rPr>
        <w:t xml:space="preserve">Bridging the Gap Between Strategy and Execution</w:t>
      </w:r>
    </w:p>
    <w:p w:rsidR="00000000" w:rsidDel="00000000" w:rsidP="00000000" w:rsidRDefault="00000000" w:rsidRPr="00000000" w14:paraId="00000008">
      <w:pPr>
        <w:spacing w:after="240" w:before="240" w:lineRule="auto"/>
        <w:rPr/>
      </w:pPr>
      <w:r w:rsidDel="00000000" w:rsidR="00000000" w:rsidRPr="00000000">
        <w:rPr>
          <w:rtl w:val="0"/>
        </w:rPr>
        <w:t xml:space="preserve">While Saudi Arabia’s Ministry of Health calls for a clear shift toward value-based care,</w:t>
      </w:r>
      <w:r w:rsidDel="00000000" w:rsidR="00000000" w:rsidRPr="00000000">
        <w:rPr>
          <w:rtl w:val="0"/>
        </w:rPr>
        <w:t xml:space="preserve"> organizations both locally and internationally often face a "delivery gap":</w:t>
      </w:r>
      <w:r w:rsidDel="00000000" w:rsidR="00000000" w:rsidRPr="00000000">
        <w:rPr>
          <w:rtl w:val="0"/>
        </w:rPr>
        <w:t xml:space="preserve"> the difficulty of translating high-level principles</w:t>
      </w:r>
      <w:r w:rsidDel="00000000" w:rsidR="00000000" w:rsidRPr="00000000">
        <w:rPr>
          <w:rtl w:val="0"/>
        </w:rPr>
        <w:t xml:space="preserve"> into practical workflows and systems for measuring outcomes at scale. </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This partnership directly addresses that implementation challenge. By leveraging The Clinician’s purpose-built platform and real-world </w:t>
      </w:r>
      <w:r w:rsidDel="00000000" w:rsidR="00000000" w:rsidRPr="00000000">
        <w:rPr>
          <w:rtl w:val="0"/>
        </w:rPr>
        <w:t xml:space="preserve">experience with national/regional patient-reported measure implementations around the world, </w:t>
      </w:r>
      <w:r w:rsidDel="00000000" w:rsidR="00000000" w:rsidRPr="00000000">
        <w:rPr>
          <w:rtl w:val="0"/>
        </w:rPr>
        <w:t xml:space="preserve">Tawuniya and Meena Health are creating a unified model for how to measure, understand and continuously improve patient outcomes. T</w:t>
      </w:r>
      <w:r w:rsidDel="00000000" w:rsidR="00000000" w:rsidRPr="00000000">
        <w:rPr>
          <w:rtl w:val="0"/>
        </w:rPr>
        <w:t xml:space="preserve">he program has been deliberately designed to integrate into existing clinical workflows with minimal burden on frontline teams, ensuring that outcomes collection enhances rather than disrupts clinical operations.</w:t>
      </w:r>
      <w:r w:rsidDel="00000000" w:rsidR="00000000" w:rsidRPr="00000000">
        <w:rPr>
          <w:rtl w:val="0"/>
        </w:rPr>
      </w:r>
    </w:p>
    <w:p w:rsidR="00000000" w:rsidDel="00000000" w:rsidP="00000000" w:rsidRDefault="00000000" w:rsidRPr="00000000" w14:paraId="0000000A">
      <w:pPr>
        <w:spacing w:after="240" w:before="240" w:lineRule="auto"/>
        <w:ind w:left="600" w:right="600" w:firstLine="0"/>
        <w:rPr/>
      </w:pPr>
      <w:r w:rsidDel="00000000" w:rsidR="00000000" w:rsidRPr="00000000">
        <w:rPr>
          <w:rtl w:val="0"/>
        </w:rPr>
        <w:t xml:space="preserve">"We're solving a fundamental infrastructure challenge," explains Michael Sherrard, Global Commercial Director at The Clinician. "It's one thing to embrace value-based principles strategically. It's another to build the digital systems and clinical processes needed to actually collect, analyze, and act on outcomes data in</w:t>
      </w:r>
      <w:r w:rsidDel="00000000" w:rsidR="00000000" w:rsidRPr="00000000">
        <w:rPr>
          <w:rtl w:val="0"/>
        </w:rPr>
        <w:t xml:space="preserve"> everyday practice."</w:t>
      </w:r>
      <w:r w:rsidDel="00000000" w:rsidR="00000000" w:rsidRPr="00000000">
        <w:rPr>
          <w:rtl w:val="0"/>
        </w:rPr>
      </w:r>
    </w:p>
    <w:p w:rsidR="00000000" w:rsidDel="00000000" w:rsidP="00000000" w:rsidRDefault="00000000" w:rsidRPr="00000000" w14:paraId="0000000B">
      <w:pPr>
        <w:spacing w:after="240" w:before="240" w:lineRule="auto"/>
        <w:ind w:left="0" w:right="600" w:firstLine="0"/>
        <w:rPr/>
      </w:pPr>
      <w:r w:rsidDel="00000000" w:rsidR="00000000" w:rsidRPr="00000000">
        <w:rPr>
          <w:rtl w:val="0"/>
        </w:rPr>
        <w:t xml:space="preserve">As a central part of this collaboration, </w:t>
      </w:r>
      <w:r w:rsidDel="00000000" w:rsidR="00000000" w:rsidRPr="00000000">
        <w:rPr>
          <w:rtl w:val="0"/>
        </w:rPr>
        <w:t xml:space="preserve">Meena Health teams will also receive structured capability-building support to embed outcomes-based practice across their clinical and operational roles.</w:t>
      </w:r>
      <w:r w:rsidDel="00000000" w:rsidR="00000000" w:rsidRPr="00000000">
        <w:rPr>
          <w:rtl w:val="0"/>
        </w:rPr>
      </w:r>
    </w:p>
    <w:p w:rsidR="00000000" w:rsidDel="00000000" w:rsidP="00000000" w:rsidRDefault="00000000" w:rsidRPr="00000000" w14:paraId="0000000C">
      <w:pPr>
        <w:pStyle w:val="Heading4"/>
        <w:keepNext w:val="0"/>
        <w:keepLines w:val="0"/>
        <w:spacing w:after="40" w:before="240" w:lineRule="auto"/>
        <w:rPr>
          <w:b w:val="1"/>
          <w:bCs w:val="1"/>
          <w:color w:val="000000"/>
          <w:sz w:val="22"/>
          <w:szCs w:val="22"/>
        </w:rPr>
      </w:pPr>
      <w:bookmarkStart w:colFirst="0" w:colLast="0" w:name="_q9umxcbks7s7" w:id="2"/>
      <w:bookmarkEnd w:id="2"/>
      <w:r w:rsidDel="00000000" w:rsidR="00000000" w:rsidRPr="00000000">
        <w:rPr>
          <w:b w:val="1"/>
          <w:bCs w:val="1"/>
          <w:color w:val="000000"/>
          <w:sz w:val="22"/>
          <w:szCs w:val="22"/>
          <w:rtl w:val="0"/>
        </w:rPr>
        <w:t xml:space="preserve">A Dual-Framework Approach: International Consortium of Health Outcome Measurements (ICHOM) and Patient-Reported Indicator Survey (</w:t>
      </w:r>
      <w:r w:rsidDel="00000000" w:rsidR="00000000" w:rsidRPr="00000000">
        <w:rPr>
          <w:b w:val="1"/>
          <w:bCs w:val="1"/>
          <w:color w:val="000000"/>
          <w:sz w:val="22"/>
          <w:szCs w:val="22"/>
          <w:rtl w:val="0"/>
        </w:rPr>
        <w:t xml:space="preserve">PaRIS</w:t>
      </w:r>
      <w:r w:rsidDel="00000000" w:rsidR="00000000" w:rsidRPr="00000000">
        <w:rPr>
          <w:b w:val="1"/>
          <w:bCs w:val="1"/>
          <w:color w:val="000000"/>
          <w:sz w:val="22"/>
          <w:szCs w:val="22"/>
          <w:rtl w:val="0"/>
        </w:rPr>
        <w:t xml:space="preserve">)</w:t>
      </w:r>
    </w:p>
    <w:p w:rsidR="00000000" w:rsidDel="00000000" w:rsidP="00000000" w:rsidRDefault="00000000" w:rsidRPr="00000000" w14:paraId="0000000D">
      <w:pPr>
        <w:spacing w:after="240" w:before="240" w:lineRule="auto"/>
        <w:rPr/>
      </w:pPr>
      <w:r w:rsidDel="00000000" w:rsidR="00000000" w:rsidRPr="00000000">
        <w:rPr>
          <w:rtl w:val="0"/>
        </w:rPr>
        <w:t xml:space="preserve">For the ICHOM community, representing a global network of patients, physicians, researchers and healthcare providers, this implementation represents </w:t>
      </w:r>
      <w:r w:rsidDel="00000000" w:rsidR="00000000" w:rsidRPr="00000000">
        <w:rPr>
          <w:rtl w:val="0"/>
        </w:rPr>
        <w:t xml:space="preserve">validation of standardized measurement at scale. </w:t>
      </w:r>
      <w:r w:rsidDel="00000000" w:rsidR="00000000" w:rsidRPr="00000000">
        <w:rPr>
          <w:rtl w:val="0"/>
        </w:rPr>
        <w:t xml:space="preserve">The first phase of the rollout is built on two pillars:</w:t>
      </w:r>
    </w:p>
    <w:p w:rsidR="00000000" w:rsidDel="00000000" w:rsidP="00000000" w:rsidRDefault="00000000" w:rsidRPr="00000000" w14:paraId="0000000E">
      <w:pPr>
        <w:numPr>
          <w:ilvl w:val="0"/>
          <w:numId w:val="1"/>
        </w:numPr>
        <w:spacing w:after="200" w:afterAutospacing="0" w:before="240" w:lineRule="auto"/>
        <w:ind w:left="720" w:hanging="360"/>
      </w:pPr>
      <w:r w:rsidDel="00000000" w:rsidR="00000000" w:rsidRPr="00000000">
        <w:rPr>
          <w:b w:val="1"/>
          <w:bCs w:val="1"/>
          <w:rtl w:val="0"/>
        </w:rPr>
        <w:t xml:space="preserve">ICHOM Standard Sets:</w:t>
      </w:r>
      <w:r w:rsidDel="00000000" w:rsidR="00000000" w:rsidRPr="00000000">
        <w:rPr>
          <w:rtl w:val="0"/>
        </w:rPr>
        <w:t xml:space="preserve"> In the first phase of the project, The Clinician will automate the collection and analysis of patient outcomes data aligned with the ICHOM sets across </w:t>
      </w:r>
      <w:r w:rsidDel="00000000" w:rsidR="00000000" w:rsidRPr="00000000">
        <w:rPr>
          <w:b w:val="1"/>
          <w:bCs w:val="1"/>
          <w:rtl w:val="0"/>
        </w:rPr>
        <w:t xml:space="preserve">Diabetes</w:t>
      </w:r>
      <w:r w:rsidDel="00000000" w:rsidR="00000000" w:rsidRPr="00000000">
        <w:rPr>
          <w:rtl w:val="0"/>
        </w:rPr>
        <w:t xml:space="preserve"> and </w:t>
      </w:r>
      <w:r w:rsidDel="00000000" w:rsidR="00000000" w:rsidRPr="00000000">
        <w:rPr>
          <w:b w:val="1"/>
          <w:bCs w:val="1"/>
          <w:rtl w:val="0"/>
        </w:rPr>
        <w:t xml:space="preserve">Low Back Pain</w:t>
      </w:r>
      <w:r w:rsidDel="00000000" w:rsidR="00000000" w:rsidRPr="00000000">
        <w:rPr>
          <w:rtl w:val="0"/>
        </w:rPr>
        <w:t xml:space="preserve">. By integrating these standards directly into the patient journey, Meena Health and Tawuniya will ensure their data is globally benchmarkable and clinically relevant.</w:t>
      </w:r>
    </w:p>
    <w:p w:rsidR="00000000" w:rsidDel="00000000" w:rsidP="00000000" w:rsidRDefault="00000000" w:rsidRPr="00000000" w14:paraId="0000000F">
      <w:pPr>
        <w:numPr>
          <w:ilvl w:val="0"/>
          <w:numId w:val="1"/>
        </w:numPr>
        <w:spacing w:after="240" w:before="200" w:beforeAutospacing="0" w:lineRule="auto"/>
        <w:ind w:left="720" w:hanging="360"/>
      </w:pPr>
      <w:r w:rsidDel="00000000" w:rsidR="00000000" w:rsidRPr="00000000">
        <w:rPr>
          <w:b w:val="1"/>
          <w:bCs w:val="1"/>
          <w:rtl w:val="0"/>
        </w:rPr>
        <w:t xml:space="preserve">OECD PaRIS Initiative:</w:t>
      </w:r>
      <w:r w:rsidDel="00000000" w:rsidR="00000000" w:rsidRPr="00000000">
        <w:rPr>
          <w:rtl w:val="0"/>
        </w:rPr>
        <w:t xml:space="preserve"> Meena Health will become the first organization in Saudi Arabia to implement the </w:t>
      </w:r>
      <w:r w:rsidDel="00000000" w:rsidR="00000000" w:rsidRPr="00000000">
        <w:rPr>
          <w:b w:val="1"/>
          <w:bCs w:val="1"/>
          <w:rtl w:val="0"/>
        </w:rPr>
        <w:t xml:space="preserve">PaRIS </w:t>
      </w:r>
      <w:r w:rsidDel="00000000" w:rsidR="00000000" w:rsidRPr="00000000">
        <w:rPr>
          <w:rtl w:val="0"/>
        </w:rPr>
        <w:t xml:space="preserve">initiative as a core framework for evaluating the quality of care delivered to patients with chronic disease. This will enable Meena to benchmark outcomes across their centers and against international standards, following the flagship PaRIS report released by the OECD earlier this year.</w:t>
      </w:r>
    </w:p>
    <w:p w:rsidR="00000000" w:rsidDel="00000000" w:rsidP="00000000" w:rsidRDefault="00000000" w:rsidRPr="00000000" w14:paraId="00000010">
      <w:pPr>
        <w:spacing w:after="240" w:before="240" w:lineRule="auto"/>
        <w:rPr/>
      </w:pPr>
      <w:r w:rsidDel="00000000" w:rsidR="00000000" w:rsidRPr="00000000">
        <w:rPr>
          <w:rtl w:val="0"/>
        </w:rPr>
        <w:t xml:space="preserve">Following this initial rollout, the program will be scaled across Meena Health’s growing number of clinics and Tawuniya’s network of providers, while broadening the clinical scope to cover a</w:t>
      </w:r>
      <w:r w:rsidDel="00000000" w:rsidR="00000000" w:rsidRPr="00000000">
        <w:rPr>
          <w:rtl w:val="0"/>
        </w:rPr>
        <w:t xml:space="preserve">dditional medical conditions and patient groups. </w:t>
      </w:r>
      <w:r w:rsidDel="00000000" w:rsidR="00000000" w:rsidRPr="00000000">
        <w:rPr>
          <w:rtl w:val="0"/>
        </w:rPr>
        <w:t xml:space="preserve">This expanded dataset will enable comparative insights across clinics and regions, supporting continuous improvement and offering valuable visibility to payers and policymakers.</w:t>
      </w:r>
      <w:r w:rsidDel="00000000" w:rsidR="00000000" w:rsidRPr="00000000">
        <w:rPr>
          <w:rtl w:val="0"/>
        </w:rPr>
      </w:r>
    </w:p>
    <w:p w:rsidR="00000000" w:rsidDel="00000000" w:rsidP="00000000" w:rsidRDefault="00000000" w:rsidRPr="00000000" w14:paraId="00000011">
      <w:pPr>
        <w:pStyle w:val="Heading4"/>
        <w:keepNext w:val="0"/>
        <w:keepLines w:val="0"/>
        <w:spacing w:after="40" w:before="240" w:lineRule="auto"/>
        <w:rPr>
          <w:b w:val="1"/>
          <w:bCs w:val="1"/>
          <w:color w:val="000000"/>
          <w:sz w:val="22"/>
          <w:szCs w:val="22"/>
        </w:rPr>
      </w:pPr>
      <w:bookmarkStart w:colFirst="0" w:colLast="0" w:name="_6tcgek4vo0wb" w:id="3"/>
      <w:bookmarkEnd w:id="3"/>
      <w:r w:rsidDel="00000000" w:rsidR="00000000" w:rsidRPr="00000000">
        <w:rPr>
          <w:b w:val="1"/>
          <w:bCs w:val="1"/>
          <w:color w:val="000000"/>
          <w:sz w:val="22"/>
          <w:szCs w:val="22"/>
          <w:rtl w:val="0"/>
        </w:rPr>
        <w:t xml:space="preserve">From Data Collection to Value-Based Payment</w:t>
      </w:r>
    </w:p>
    <w:p w:rsidR="00000000" w:rsidDel="00000000" w:rsidP="00000000" w:rsidRDefault="00000000" w:rsidRPr="00000000" w14:paraId="00000012">
      <w:pPr>
        <w:spacing w:after="240" w:before="240" w:lineRule="auto"/>
        <w:rPr>
          <w:b w:val="1"/>
          <w:bCs w:val="1"/>
          <w:color w:val="000000"/>
          <w:sz w:val="22"/>
          <w:szCs w:val="22"/>
        </w:rPr>
      </w:pPr>
      <w:r w:rsidDel="00000000" w:rsidR="00000000" w:rsidRPr="00000000">
        <w:rPr>
          <w:rtl w:val="0"/>
        </w:rPr>
        <w:t xml:space="preserve">The long-term vision for the program goes beyond care delivery and quality improvement; it includes restructuring the economic model of care. Globally, the transition from fee-for-service to bundled or outcomes-based payments is often stalled by a lack of trusted data. By establishing a robust, digital-first method for capturing, analysing, and reporting high-quality outcomes data, Tawuniya is creating the necessary groundwork for future adoption of value-based payment models in Saudi Arabia. </w:t>
      </w:r>
      <w:r w:rsidDel="00000000" w:rsidR="00000000" w:rsidRPr="00000000">
        <w:rPr>
          <w:rtl w:val="0"/>
        </w:rPr>
      </w:r>
    </w:p>
    <w:p w:rsidR="00000000" w:rsidDel="00000000" w:rsidP="00000000" w:rsidRDefault="00000000" w:rsidRPr="00000000" w14:paraId="00000013">
      <w:pPr>
        <w:pStyle w:val="Heading4"/>
        <w:keepNext w:val="0"/>
        <w:keepLines w:val="0"/>
        <w:spacing w:after="40" w:before="240" w:lineRule="auto"/>
        <w:rPr>
          <w:b w:val="1"/>
          <w:bCs w:val="1"/>
          <w:color w:val="000000"/>
          <w:sz w:val="22"/>
          <w:szCs w:val="22"/>
        </w:rPr>
      </w:pPr>
      <w:bookmarkStart w:colFirst="0" w:colLast="0" w:name="_yrzdwcihlbwl" w:id="4"/>
      <w:bookmarkEnd w:id="4"/>
      <w:r w:rsidDel="00000000" w:rsidR="00000000" w:rsidRPr="00000000">
        <w:rPr>
          <w:b w:val="1"/>
          <w:bCs w:val="1"/>
          <w:color w:val="000000"/>
          <w:sz w:val="22"/>
          <w:szCs w:val="22"/>
          <w:rtl w:val="0"/>
        </w:rPr>
        <w:t xml:space="preserve">A Scalable Blueprint for the Adoption of VBHC in Saudi Arabia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This partnership represents a scalable blueprint for payer–provider collaboration in value-based care and sets the stage for broader national adoption.</w:t>
      </w:r>
      <w:r w:rsidDel="00000000" w:rsidR="00000000" w:rsidRPr="00000000">
        <w:rPr>
          <w:rtl w:val="0"/>
        </w:rPr>
      </w:r>
    </w:p>
    <w:p w:rsidR="00000000" w:rsidDel="00000000" w:rsidP="00000000" w:rsidRDefault="00000000" w:rsidRPr="00000000" w14:paraId="00000016">
      <w:pPr>
        <w:pStyle w:val="Heading4"/>
        <w:keepNext w:val="0"/>
        <w:keepLines w:val="0"/>
        <w:spacing w:after="40" w:before="240" w:lineRule="auto"/>
        <w:rPr>
          <w:b w:val="1"/>
          <w:bCs w:val="1"/>
          <w:color w:val="000000"/>
          <w:sz w:val="22"/>
          <w:szCs w:val="22"/>
        </w:rPr>
      </w:pPr>
      <w:bookmarkStart w:colFirst="0" w:colLast="0" w:name="_ku0jijw0p9yj" w:id="5"/>
      <w:bookmarkEnd w:id="5"/>
      <w:r w:rsidDel="00000000" w:rsidR="00000000" w:rsidRPr="00000000">
        <w:rPr>
          <w:rtl w:val="0"/>
        </w:rPr>
      </w:r>
    </w:p>
    <w:p w:rsidR="00000000" w:rsidDel="00000000" w:rsidP="00000000" w:rsidRDefault="00000000" w:rsidRPr="00000000" w14:paraId="00000017">
      <w:pPr>
        <w:pStyle w:val="Heading4"/>
        <w:keepNext w:val="0"/>
        <w:keepLines w:val="0"/>
        <w:spacing w:after="40" w:before="240" w:lineRule="auto"/>
        <w:rPr>
          <w:b w:val="1"/>
          <w:bCs w:val="1"/>
          <w:color w:val="000000"/>
          <w:sz w:val="22"/>
          <w:szCs w:val="22"/>
        </w:rPr>
      </w:pPr>
      <w:bookmarkStart w:colFirst="0" w:colLast="0" w:name="_ib96765w8pv2" w:id="6"/>
      <w:bookmarkEnd w:id="6"/>
      <w:r w:rsidDel="00000000" w:rsidR="00000000" w:rsidRPr="00000000">
        <w:rPr>
          <w:b w:val="1"/>
          <w:bCs w:val="1"/>
          <w:color w:val="000000"/>
          <w:sz w:val="22"/>
          <w:szCs w:val="22"/>
          <w:rtl w:val="0"/>
        </w:rPr>
        <w:t xml:space="preserve">Where to Learn More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If you want to keep up to date </w:t>
      </w:r>
      <w:r w:rsidDel="00000000" w:rsidR="00000000" w:rsidRPr="00000000">
        <w:rPr>
          <w:rtl w:val="0"/>
        </w:rPr>
        <w:t xml:space="preserve">with the latest news about this program, you can follow </w:t>
      </w:r>
      <w:hyperlink r:id="rId6">
        <w:r w:rsidDel="00000000" w:rsidR="00000000" w:rsidRPr="00000000">
          <w:rPr>
            <w:color w:val="1155cc"/>
            <w:u w:val="single"/>
            <w:rtl w:val="0"/>
          </w:rPr>
          <w:t xml:space="preserve">The Clinician</w:t>
        </w:r>
      </w:hyperlink>
      <w:r w:rsidDel="00000000" w:rsidR="00000000" w:rsidRPr="00000000">
        <w:rPr>
          <w:rtl w:val="0"/>
        </w:rPr>
        <w:t xml:space="preserve"> on LinkedIn or reach out directly below to learn about how to operationalize ICHOM standards in your organization. </w:t>
      </w:r>
    </w:p>
    <w:p w:rsidR="00000000" w:rsidDel="00000000" w:rsidP="00000000" w:rsidRDefault="00000000" w:rsidRPr="00000000" w14:paraId="0000001A">
      <w:pPr>
        <w:spacing w:after="240" w:before="240" w:lineRule="auto"/>
        <w:rPr/>
      </w:pPr>
      <w:r w:rsidDel="00000000" w:rsidR="00000000" w:rsidRPr="00000000">
        <w:rPr>
          <w:rtl w:val="0"/>
        </w:rPr>
        <w:t xml:space="preserve">Contact: </w:t>
      </w:r>
      <w:hyperlink r:id="rId7">
        <w:r w:rsidDel="00000000" w:rsidR="00000000" w:rsidRPr="00000000">
          <w:rPr>
            <w:color w:val="1155cc"/>
            <w:u w:val="single"/>
            <w:rtl w:val="0"/>
          </w:rPr>
          <w:t xml:space="preserve">jack@theclinician.com</w:t>
        </w:r>
      </w:hyperlink>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pStyle w:val="Heading1"/>
        <w:spacing w:after="240" w:before="240" w:lineRule="auto"/>
        <w:rPr/>
      </w:pPr>
      <w:bookmarkStart w:colFirst="0" w:colLast="0" w:name="_1rgi3hjoa665" w:id="7"/>
      <w:bookmarkEnd w:id="7"/>
      <w:r w:rsidDel="00000000" w:rsidR="00000000" w:rsidRPr="00000000">
        <w:rPr>
          <w:rtl w:val="0"/>
        </w:rPr>
        <w:t xml:space="preserve">Social Media Post (shared via ICHOM channels) </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A Major VBHC Implementation Milestone in Saudi Arabia 🇸🇦</w:t>
        <w:br w:type="textWrapping"/>
        <w:br w:type="textWrapping"/>
      </w:r>
      <w:r w:rsidDel="00000000" w:rsidR="00000000" w:rsidRPr="00000000">
        <w:rPr>
          <w:rtl w:val="0"/>
        </w:rPr>
        <w:t xml:space="preserve">Tawuniya and Meena Health are partnering with ICHOM implementation partner </w:t>
      </w:r>
      <w:r w:rsidDel="00000000" w:rsidR="00000000" w:rsidRPr="00000000">
        <w:rPr>
          <w:rtl w:val="0"/>
        </w:rPr>
        <w:t xml:space="preserve">The Clinician</w:t>
      </w:r>
      <w:r w:rsidDel="00000000" w:rsidR="00000000" w:rsidRPr="00000000">
        <w:rPr>
          <w:rtl w:val="0"/>
        </w:rPr>
        <w:t xml:space="preserve"> to advance Value-Based Healthcare from strategy to operational delivery in the Kingdom.</w:t>
      </w:r>
    </w:p>
    <w:p w:rsidR="00000000" w:rsidDel="00000000" w:rsidP="00000000" w:rsidRDefault="00000000" w:rsidRPr="00000000" w14:paraId="0000001E">
      <w:pPr>
        <w:spacing w:after="240" w:before="240" w:lineRule="auto"/>
        <w:rPr/>
      </w:pPr>
      <w:r w:rsidDel="00000000" w:rsidR="00000000" w:rsidRPr="00000000">
        <w:rPr>
          <w:rtl w:val="0"/>
        </w:rPr>
        <w:t xml:space="preserve">This initiative deploys The Clinician’s platform to streamline the collection, analysis and utilization of PROMs for </w:t>
      </w:r>
      <w:r w:rsidDel="00000000" w:rsidR="00000000" w:rsidRPr="00000000">
        <w:rPr>
          <w:b w:val="1"/>
          <w:bCs w:val="1"/>
          <w:rtl w:val="0"/>
        </w:rPr>
        <w:t xml:space="preserve">Diabetes</w:t>
      </w:r>
      <w:r w:rsidDel="00000000" w:rsidR="00000000" w:rsidRPr="00000000">
        <w:rPr>
          <w:rtl w:val="0"/>
        </w:rPr>
        <w:t xml:space="preserve"> and </w:t>
      </w:r>
      <w:r w:rsidDel="00000000" w:rsidR="00000000" w:rsidRPr="00000000">
        <w:rPr>
          <w:b w:val="1"/>
          <w:bCs w:val="1"/>
          <w:rtl w:val="0"/>
        </w:rPr>
        <w:t xml:space="preserve">Low Back Pain</w:t>
      </w:r>
      <w:r w:rsidDel="00000000" w:rsidR="00000000" w:rsidRPr="00000000">
        <w:rPr>
          <w:rtl w:val="0"/>
        </w:rPr>
        <w:t xml:space="preserve"> using the </w:t>
      </w:r>
      <w:r w:rsidDel="00000000" w:rsidR="00000000" w:rsidRPr="00000000">
        <w:rPr>
          <w:b w:val="1"/>
          <w:bCs w:val="1"/>
          <w:rtl w:val="0"/>
        </w:rPr>
        <w:t xml:space="preserve">ICHOM Standard Sets</w:t>
      </w:r>
      <w:r w:rsidDel="00000000" w:rsidR="00000000" w:rsidRPr="00000000">
        <w:rPr>
          <w:rtl w:val="0"/>
        </w:rPr>
        <w:t xml:space="preserve">, while also becoming the </w:t>
      </w:r>
      <w:r w:rsidDel="00000000" w:rsidR="00000000" w:rsidRPr="00000000">
        <w:rPr>
          <w:b w:val="1"/>
          <w:bCs w:val="1"/>
          <w:rtl w:val="0"/>
        </w:rPr>
        <w:t xml:space="preserve">first organization in Saudi Arabia</w:t>
      </w:r>
      <w:r w:rsidDel="00000000" w:rsidR="00000000" w:rsidRPr="00000000">
        <w:rPr>
          <w:rtl w:val="0"/>
        </w:rPr>
        <w:t xml:space="preserve"> to implement the </w:t>
      </w:r>
      <w:r w:rsidDel="00000000" w:rsidR="00000000" w:rsidRPr="00000000">
        <w:rPr>
          <w:b w:val="1"/>
          <w:bCs w:val="1"/>
          <w:rtl w:val="0"/>
        </w:rPr>
        <w:t xml:space="preserve">OECD PaRIS</w:t>
      </w:r>
      <w:r w:rsidDel="00000000" w:rsidR="00000000" w:rsidRPr="00000000">
        <w:rPr>
          <w:rtl w:val="0"/>
        </w:rPr>
        <w:t xml:space="preserve"> framework for evaluating primary care effectiveness.</w:t>
      </w:r>
    </w:p>
    <w:p w:rsidR="00000000" w:rsidDel="00000000" w:rsidP="00000000" w:rsidRDefault="00000000" w:rsidRPr="00000000" w14:paraId="0000001F">
      <w:pPr>
        <w:spacing w:after="240" w:before="240" w:lineRule="auto"/>
        <w:rPr/>
      </w:pPr>
      <w:r w:rsidDel="00000000" w:rsidR="00000000" w:rsidRPr="00000000">
        <w:rPr>
          <w:rtl w:val="0"/>
        </w:rPr>
        <w:t xml:space="preserve">By building the digital and clinical infrastructure required to measure patient outcomes consistently and at scale, this partnership establishes a </w:t>
      </w:r>
      <w:r w:rsidDel="00000000" w:rsidR="00000000" w:rsidRPr="00000000">
        <w:rPr>
          <w:b w:val="1"/>
          <w:bCs w:val="1"/>
          <w:rtl w:val="0"/>
        </w:rPr>
        <w:t xml:space="preserve">nationally relevant blueprint</w:t>
      </w:r>
      <w:r w:rsidDel="00000000" w:rsidR="00000000" w:rsidRPr="00000000">
        <w:rPr>
          <w:rtl w:val="0"/>
        </w:rPr>
        <w:t xml:space="preserve"> for delivering VBHC in alignment with </w:t>
      </w:r>
      <w:r w:rsidDel="00000000" w:rsidR="00000000" w:rsidRPr="00000000">
        <w:rPr>
          <w:b w:val="1"/>
          <w:bCs w:val="1"/>
          <w:rtl w:val="0"/>
        </w:rPr>
        <w:t xml:space="preserve">Vision 2030’s health transformation goals</w:t>
      </w:r>
      <w:r w:rsidDel="00000000" w:rsidR="00000000" w:rsidRPr="00000000">
        <w:rPr>
          <w:rtl w:val="0"/>
        </w:rPr>
        <w:t xml:space="preserve">.</w:t>
      </w:r>
    </w:p>
    <w:p w:rsidR="00000000" w:rsidDel="00000000" w:rsidP="00000000" w:rsidRDefault="00000000" w:rsidRPr="00000000" w14:paraId="00000020">
      <w:pPr>
        <w:spacing w:after="240" w:before="240" w:lineRule="auto"/>
        <w:rPr/>
      </w:pPr>
      <w:r w:rsidDel="00000000" w:rsidR="00000000" w:rsidRPr="00000000">
        <w:rPr>
          <w:rtl w:val="0"/>
        </w:rPr>
        <w:t xml:space="preserve">Read the full story here: [Link to ICHOM story]</w:t>
      </w:r>
    </w:p>
    <w:p w:rsidR="00000000" w:rsidDel="00000000" w:rsidP="00000000" w:rsidRDefault="00000000" w:rsidRPr="00000000" w14:paraId="00000021">
      <w:pPr>
        <w:spacing w:after="240" w:before="240" w:lineRule="auto"/>
        <w:rPr/>
      </w:pPr>
      <w:r w:rsidDel="00000000" w:rsidR="00000000" w:rsidRPr="00000000">
        <w:rPr>
          <w:rtl w:val="0"/>
        </w:rPr>
        <w:t xml:space="preserve">#VBHC #SaudiArabia #ICHOM #PaRIS #PatientOutcomes #Tawuniya #MeenaHealth #TheClinician</w:t>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inkedin.com/company/12125971" TargetMode="External"/><Relationship Id="rId7" Type="http://schemas.openxmlformats.org/officeDocument/2006/relationships/hyperlink" Target="mailto:jack@theclinici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